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r>
    </w:p>
    <w:p>
      <w:pPr>
        <w:pStyle w:val="Normal"/>
        <w:rPr>
          <w:sz w:val="24"/>
          <w:szCs w:val="24"/>
        </w:rPr>
      </w:pPr>
      <w:r>
        <w:rPr>
          <w:sz w:val="24"/>
          <w:szCs w:val="24"/>
        </w:rPr>
        <w:drawing>
          <wp:inline distT="0" distB="0" distL="0" distR="0">
            <wp:extent cx="438150" cy="7620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38150" cy="762000"/>
                    </a:xfrm>
                    <a:prstGeom prst="rect">
                      <a:avLst/>
                    </a:prstGeom>
                    <a:noFill/>
                  </pic:spPr>
                </pic:pic>
              </a:graphicData>
            </a:graphic>
          </wp:inline>
        </w:drawing>
      </w:r>
    </w:p>
    <w:p>
      <w:pPr>
        <w:pStyle w:val="Normal"/>
        <w:rPr>
          <w:sz w:val="24"/>
          <w:szCs w:val="24"/>
        </w:rPr>
      </w:pPr>
      <w:r>
        <w:rPr>
          <w:sz w:val="24"/>
          <w:szCs w:val="24"/>
        </w:rPr>
      </w:r>
    </w:p>
    <w:p>
      <w:pPr>
        <w:pStyle w:val="pStyle"/>
        <w:rPr>
          <w:sz w:val="24"/>
          <w:szCs w:val="24"/>
        </w:rPr>
      </w:pPr>
      <w:r>
        <w:rPr>
          <w:b/>
          <w:sz w:val="24"/>
          <w:szCs w:val="24"/>
        </w:rPr>
        <w:t>Република Србија</w:t>
      </w:r>
    </w:p>
    <w:p>
      <w:pPr>
        <w:pStyle w:val="pStyle"/>
        <w:rPr>
          <w:sz w:val="24"/>
          <w:szCs w:val="24"/>
        </w:rPr>
      </w:pPr>
      <w:r>
        <w:rPr>
          <w:b/>
          <w:sz w:val="24"/>
          <w:szCs w:val="24"/>
        </w:rPr>
        <w:t>ЈАВНИ ИЗВРШИТЕЉ АЛЕКСАНДРА АНТИЋ</w:t>
      </w:r>
    </w:p>
    <w:p>
      <w:pPr>
        <w:pStyle w:val="pStyle"/>
        <w:rPr>
          <w:sz w:val="24"/>
          <w:szCs w:val="24"/>
        </w:rPr>
      </w:pPr>
      <w:r>
        <w:rPr>
          <w:b/>
          <w:sz w:val="24"/>
          <w:szCs w:val="24"/>
        </w:rPr>
        <w:t>за подручје Вишег суда у Лесковцу и Привредног суда у Лесковцу</w:t>
      </w:r>
    </w:p>
    <w:p>
      <w:pPr>
        <w:pStyle w:val="pStyle"/>
        <w:rPr>
          <w:sz w:val="24"/>
          <w:szCs w:val="24"/>
        </w:rPr>
      </w:pPr>
      <w:r>
        <w:rPr>
          <w:b/>
          <w:sz w:val="24"/>
          <w:szCs w:val="24"/>
        </w:rPr>
        <w:t>Л е с к о в а ц, ул. Косте Стаменковића бр. 3/5</w:t>
      </w:r>
    </w:p>
    <w:p>
      <w:pPr>
        <w:pStyle w:val="pStyle"/>
        <w:rPr>
          <w:sz w:val="24"/>
          <w:szCs w:val="24"/>
        </w:rPr>
      </w:pPr>
      <w:r>
        <w:rPr>
          <w:b/>
          <w:sz w:val="24"/>
          <w:szCs w:val="24"/>
        </w:rPr>
        <w:t>Број предмета ИИ</w:t>
      </w:r>
      <w:r>
        <w:rPr>
          <w:b/>
          <w:sz w:val="24"/>
          <w:szCs w:val="24"/>
          <w:lang w:val="sr-RS"/>
        </w:rPr>
        <w:t>в-280/2020</w:t>
      </w:r>
    </w:p>
    <w:p>
      <w:pPr>
        <w:pStyle w:val="pStyle"/>
        <w:rPr>
          <w:sz w:val="24"/>
          <w:szCs w:val="24"/>
        </w:rPr>
      </w:pPr>
      <w:r>
        <w:rPr>
          <w:b/>
          <w:sz w:val="24"/>
          <w:szCs w:val="24"/>
        </w:rPr>
        <w:t xml:space="preserve">Дана: </w:t>
      </w:r>
      <w:r>
        <w:rPr>
          <w:b/>
          <w:sz w:val="24"/>
          <w:szCs w:val="24"/>
        </w:rPr>
        <w:t>16</w:t>
      </w:r>
      <w:r>
        <w:rPr>
          <w:b/>
          <w:sz w:val="24"/>
          <w:szCs w:val="24"/>
          <w:lang w:val="sr-RS"/>
        </w:rPr>
        <w:t>.</w:t>
      </w:r>
      <w:r>
        <w:rPr>
          <w:b/>
          <w:sz w:val="24"/>
          <w:szCs w:val="24"/>
          <w:lang w:val="sr-RS"/>
        </w:rPr>
        <w:t>06</w:t>
      </w:r>
      <w:r>
        <w:rPr>
          <w:b/>
          <w:sz w:val="24"/>
          <w:szCs w:val="24"/>
          <w:lang w:val="sr-RS"/>
        </w:rPr>
        <w:t>.202</w:t>
      </w:r>
      <w:r>
        <w:rPr>
          <w:b/>
          <w:sz w:val="24"/>
          <w:szCs w:val="24"/>
          <w:lang w:val="sr-RS"/>
        </w:rPr>
        <w:t>5</w:t>
      </w:r>
      <w:r>
        <w:rPr>
          <w:b/>
          <w:sz w:val="24"/>
          <w:szCs w:val="24"/>
          <w:lang w:val="sr-RS"/>
        </w:rPr>
        <w:t>.</w:t>
      </w:r>
      <w:r>
        <w:rPr>
          <w:b/>
          <w:sz w:val="24"/>
          <w:szCs w:val="24"/>
        </w:rPr>
        <w:t xml:space="preserve"> године</w:t>
      </w:r>
    </w:p>
    <w:p>
      <w:pPr>
        <w:pStyle w:val="Normal"/>
        <w:rPr>
          <w:sz w:val="24"/>
          <w:szCs w:val="24"/>
        </w:rPr>
      </w:pPr>
      <w:r>
        <w:rPr>
          <w:sz w:val="24"/>
          <w:szCs w:val="24"/>
        </w:rPr>
      </w:r>
    </w:p>
    <w:p>
      <w:pPr>
        <w:pStyle w:val="Normal"/>
        <w:ind w:firstLine="708"/>
        <w:jc w:val="both"/>
        <w:rPr>
          <w:sz w:val="24"/>
          <w:szCs w:val="24"/>
        </w:rPr>
      </w:pPr>
      <w:r>
        <w:rPr>
          <w:sz w:val="24"/>
          <w:szCs w:val="24"/>
        </w:rPr>
        <w:t xml:space="preserve">Јавни извршитељ Александра Антић у извршном поступку извршног повериоца </w:t>
      </w:r>
      <w:r>
        <w:rPr>
          <w:b/>
          <w:sz w:val="24"/>
          <w:szCs w:val="24"/>
        </w:rPr>
        <w:t xml:space="preserve">Addiko Bank A.D. Beograd, </w:t>
      </w:r>
      <w:r>
        <w:rPr>
          <w:sz w:val="24"/>
          <w:szCs w:val="24"/>
        </w:rPr>
        <w:t xml:space="preserve">Београд, ул. Милутина Миланковића бр. 7В, МБ 07726716, ПИБ 100228215, чији је пуномоћник адв. Владимир С. Домазет, Ниш, Синђелићев трг бр.14/Д-5, против извршног дужника </w:t>
      </w:r>
      <w:r>
        <w:rPr>
          <w:b/>
          <w:sz w:val="24"/>
          <w:szCs w:val="24"/>
        </w:rPr>
        <w:t xml:space="preserve">Дејан Тодоровић, </w:t>
      </w:r>
      <w:r>
        <w:rPr>
          <w:sz w:val="24"/>
          <w:szCs w:val="24"/>
        </w:rPr>
        <w:t>Лесковац, ул. Јужноморавских бригада бр. 156ф/2, ЈМБГ 1308979740067, кога заступа привремени заступник Лазар Цветковић, 16000 Лесковац, Косте Стаменковића 8, на основу Решења о извршењу Основног суда у Лесковцу Ив-190/2015 од 25.03.2015. године,</w:t>
      </w:r>
      <w:r>
        <w:rPr>
          <w:sz w:val="24"/>
          <w:szCs w:val="24"/>
          <w:lang w:val="sr-RS"/>
        </w:rPr>
        <w:t xml:space="preserve">  </w:t>
      </w:r>
      <w:r>
        <w:rPr>
          <w:sz w:val="24"/>
          <w:szCs w:val="24"/>
        </w:rPr>
        <w:t xml:space="preserve">у складу са чл. </w:t>
      </w:r>
      <w:r>
        <w:rPr>
          <w:sz w:val="24"/>
          <w:szCs w:val="24"/>
          <w:lang w:val="sr-RS"/>
        </w:rPr>
        <w:t>104-134.</w:t>
      </w:r>
      <w:r>
        <w:rPr>
          <w:sz w:val="24"/>
          <w:szCs w:val="24"/>
        </w:rPr>
        <w:t xml:space="preserve"> Закона о извршењу и обезбеђењу ("Сл.гласник РС" бр.33/2011 и 99/2011) дана </w:t>
      </w:r>
      <w:r>
        <w:rPr>
          <w:sz w:val="24"/>
          <w:szCs w:val="24"/>
        </w:rPr>
        <w:t>16</w:t>
      </w:r>
      <w:r>
        <w:rPr>
          <w:sz w:val="24"/>
          <w:szCs w:val="24"/>
          <w:lang w:val="sr-RS"/>
        </w:rPr>
        <w:t>.</w:t>
      </w:r>
      <w:r>
        <w:rPr>
          <w:sz w:val="24"/>
          <w:szCs w:val="24"/>
          <w:lang w:val="sr-RS"/>
        </w:rPr>
        <w:t>06</w:t>
      </w:r>
      <w:r>
        <w:rPr>
          <w:sz w:val="24"/>
          <w:szCs w:val="24"/>
          <w:lang w:val="sr-RS"/>
        </w:rPr>
        <w:t>.202</w:t>
      </w:r>
      <w:r>
        <w:rPr>
          <w:sz w:val="24"/>
          <w:szCs w:val="24"/>
          <w:lang w:val="sr-RS"/>
        </w:rPr>
        <w:t>5</w:t>
      </w:r>
      <w:r>
        <w:rPr>
          <w:sz w:val="24"/>
          <w:szCs w:val="24"/>
        </w:rPr>
        <w:t>. године донео је:</w:t>
      </w:r>
    </w:p>
    <w:p>
      <w:pPr>
        <w:pStyle w:val="Normal"/>
        <w:ind w:firstLine="708"/>
        <w:jc w:val="both"/>
        <w:rPr>
          <w:sz w:val="24"/>
          <w:szCs w:val="24"/>
        </w:rPr>
      </w:pPr>
      <w:r>
        <w:rPr>
          <w:sz w:val="24"/>
          <w:szCs w:val="24"/>
        </w:rPr>
      </w:r>
    </w:p>
    <w:p>
      <w:pPr>
        <w:pStyle w:val="Heading1"/>
        <w:rPr>
          <w:sz w:val="26"/>
          <w:szCs w:val="26"/>
        </w:rPr>
      </w:pPr>
      <w:bookmarkStart w:id="0" w:name="_Toc1"/>
      <w:r>
        <w:rPr>
          <w:sz w:val="26"/>
          <w:szCs w:val="26"/>
        </w:rPr>
        <w:t xml:space="preserve">ЗАКЉУЧАК О </w:t>
      </w:r>
      <w:r>
        <w:rPr>
          <w:sz w:val="26"/>
          <w:szCs w:val="26"/>
          <w:lang w:val="sr-RS"/>
        </w:rPr>
        <w:t xml:space="preserve">ПРВОЈ </w:t>
      </w:r>
      <w:r>
        <w:rPr>
          <w:sz w:val="26"/>
          <w:szCs w:val="26"/>
        </w:rPr>
        <w:t xml:space="preserve">ПРОДАЈИ </w:t>
      </w:r>
      <w:bookmarkStart w:id="1" w:name="_Toc2"/>
      <w:bookmarkEnd w:id="0"/>
      <w:r>
        <w:rPr>
          <w:sz w:val="26"/>
          <w:szCs w:val="26"/>
          <w:lang w:val="sr-RS"/>
        </w:rPr>
        <w:t>НЕПОКРЕТНОСТИ</w:t>
      </w:r>
      <w:r>
        <w:rPr>
          <w:sz w:val="26"/>
          <w:szCs w:val="26"/>
        </w:rPr>
        <w:t xml:space="preserve"> ЈАВНИМ НАДМЕТАЊЕМ</w:t>
      </w:r>
      <w:bookmarkEnd w:id="1"/>
    </w:p>
    <w:p>
      <w:pPr>
        <w:pStyle w:val="pStyle2"/>
        <w:rPr>
          <w:sz w:val="24"/>
          <w:szCs w:val="24"/>
        </w:rPr>
      </w:pPr>
      <w:r>
        <w:rPr>
          <w:b/>
          <w:sz w:val="24"/>
          <w:szCs w:val="24"/>
        </w:rPr>
        <w:t xml:space="preserve">ОДРЕЂУЈЕ СЕ </w:t>
      </w:r>
      <w:r>
        <w:rPr>
          <w:b/>
          <w:sz w:val="24"/>
          <w:szCs w:val="24"/>
          <w:lang w:val="sr-RS"/>
        </w:rPr>
        <w:t>ПРВ</w:t>
      </w:r>
      <w:r>
        <w:rPr>
          <w:b/>
          <w:sz w:val="24"/>
          <w:szCs w:val="24"/>
        </w:rPr>
        <w:t xml:space="preserve">А ЈАВНА ПРОДАЈА ПУТЕМ УСМЕНОГ ЈАВНОГ НАДМЕТАЊА </w:t>
      </w:r>
      <w:r>
        <w:rPr>
          <w:b/>
          <w:sz w:val="24"/>
          <w:szCs w:val="24"/>
          <w:lang w:val="sr-RS"/>
        </w:rPr>
        <w:t>непокретности и то:</w:t>
      </w:r>
    </w:p>
    <w:p>
      <w:pPr>
        <w:pStyle w:val="Normal"/>
        <w:numPr>
          <w:ilvl w:val="0"/>
          <w:numId w:val="1"/>
        </w:numPr>
        <w:tabs>
          <w:tab w:val="clear" w:pos="708"/>
          <w:tab w:val="left" w:pos="570" w:leader="none"/>
        </w:tabs>
        <w:spacing w:lineRule="auto" w:line="259" w:before="0" w:after="0"/>
        <w:ind w:left="500"/>
        <w:jc w:val="both"/>
        <w:rPr>
          <w:sz w:val="24"/>
          <w:szCs w:val="24"/>
        </w:rPr>
      </w:pPr>
      <w:r>
        <w:rPr>
          <w:sz w:val="24"/>
          <w:szCs w:val="24"/>
        </w:rPr>
        <w:tab/>
        <w:t>кп.бр. 664/1, улица Стари друм конопљиш, врт 2. класе, површине 1173 м2, уписан</w:t>
      </w:r>
      <w:r>
        <w:rPr>
          <w:sz w:val="24"/>
          <w:szCs w:val="24"/>
          <w:lang w:val="sr-RS"/>
        </w:rPr>
        <w:t>а</w:t>
      </w:r>
      <w:r>
        <w:rPr>
          <w:sz w:val="24"/>
          <w:szCs w:val="24"/>
        </w:rPr>
        <w:t xml:space="preserve"> у ЛН 188 за КО Горње Трњане, врста права својина, облик својине приватна, са уделом извршног дужника 1/1,</w:t>
      </w:r>
      <w:r>
        <w:rPr>
          <w:b/>
          <w:sz w:val="24"/>
          <w:szCs w:val="24"/>
          <w:lang w:val="sr-RS"/>
        </w:rPr>
        <w:t xml:space="preserve"> </w:t>
      </w:r>
      <w:r>
        <w:rPr>
          <w:b w:val="false"/>
          <w:bCs w:val="false"/>
          <w:sz w:val="24"/>
          <w:szCs w:val="24"/>
          <w:lang w:val="sr-RS"/>
        </w:rPr>
        <w:t xml:space="preserve">процењена тржишна вредност </w:t>
      </w:r>
      <w:r>
        <w:rPr>
          <w:b w:val="false"/>
          <w:bCs w:val="false"/>
          <w:sz w:val="24"/>
          <w:szCs w:val="24"/>
          <w:lang w:val="sr-RS"/>
        </w:rPr>
        <w:t>68.650,00 динара,</w:t>
      </w:r>
      <w:r>
        <w:rPr>
          <w:b/>
          <w:sz w:val="24"/>
          <w:szCs w:val="24"/>
          <w:lang w:val="sr-RS"/>
        </w:rPr>
        <w:t xml:space="preserve"> </w:t>
      </w:r>
      <w:r>
        <w:rPr>
          <w:b/>
          <w:sz w:val="24"/>
          <w:szCs w:val="24"/>
          <w:lang w:val="sr-RS"/>
        </w:rPr>
        <w:t>почетна цена 41.190,00 динара</w:t>
      </w:r>
      <w:r>
        <w:rPr>
          <w:sz w:val="24"/>
          <w:szCs w:val="24"/>
          <w:lang w:val="sr-RS"/>
        </w:rPr>
        <w:t>;</w:t>
      </w:r>
    </w:p>
    <w:p>
      <w:pPr>
        <w:pStyle w:val="Normal"/>
        <w:numPr>
          <w:ilvl w:val="0"/>
          <w:numId w:val="1"/>
        </w:numPr>
        <w:spacing w:lineRule="auto" w:line="259" w:before="0" w:after="0"/>
        <w:ind w:left="500"/>
        <w:jc w:val="both"/>
        <w:rPr>
          <w:sz w:val="24"/>
          <w:szCs w:val="24"/>
        </w:rPr>
      </w:pPr>
      <w:r>
        <w:rPr>
          <w:sz w:val="24"/>
          <w:szCs w:val="24"/>
        </w:rPr>
        <w:t xml:space="preserve"> </w:t>
      </w:r>
      <w:r>
        <w:rPr>
          <w:sz w:val="24"/>
          <w:szCs w:val="24"/>
        </w:rPr>
        <w:t>кп.бр. 764, улица стари друм редбресје, њива 3. класе, површине 1272 м2, уписан</w:t>
      </w:r>
      <w:r>
        <w:rPr>
          <w:sz w:val="24"/>
          <w:szCs w:val="24"/>
          <w:lang w:val="sr-RS"/>
        </w:rPr>
        <w:t>а</w:t>
      </w:r>
      <w:r>
        <w:rPr>
          <w:sz w:val="24"/>
          <w:szCs w:val="24"/>
        </w:rPr>
        <w:t xml:space="preserve"> у ЛН 188 за КО Горње Трњане, врста права својина, облик својине приватна, са уделом извршног дужника 1/1,</w:t>
      </w:r>
      <w:r>
        <w:rPr>
          <w:sz w:val="24"/>
          <w:szCs w:val="24"/>
          <w:lang w:val="sr-RS"/>
        </w:rPr>
        <w:t xml:space="preserve"> </w:t>
      </w:r>
      <w:r>
        <w:rPr>
          <w:sz w:val="24"/>
          <w:szCs w:val="24"/>
          <w:lang w:val="sr-RS"/>
        </w:rPr>
        <w:t>процењена тржишна вредност</w:t>
      </w:r>
      <w:r>
        <w:rPr>
          <w:b/>
          <w:sz w:val="24"/>
          <w:szCs w:val="24"/>
          <w:lang w:val="sr-RS"/>
        </w:rPr>
        <w:t xml:space="preserve"> </w:t>
      </w:r>
      <w:r>
        <w:rPr>
          <w:b w:val="false"/>
          <w:bCs w:val="false"/>
          <w:sz w:val="24"/>
          <w:szCs w:val="24"/>
          <w:lang w:val="sr-RS"/>
        </w:rPr>
        <w:t>52.111,00 динара,</w:t>
      </w:r>
      <w:r>
        <w:rPr>
          <w:b/>
          <w:sz w:val="24"/>
          <w:szCs w:val="24"/>
          <w:lang w:val="sr-RS"/>
        </w:rPr>
        <w:t xml:space="preserve"> </w:t>
      </w:r>
      <w:r>
        <w:rPr>
          <w:b/>
          <w:sz w:val="24"/>
          <w:szCs w:val="24"/>
          <w:lang w:val="sr-RS"/>
        </w:rPr>
        <w:t>почетна цена 31.266.60 динара</w:t>
      </w:r>
      <w:r>
        <w:rPr>
          <w:b/>
          <w:sz w:val="24"/>
          <w:szCs w:val="24"/>
          <w:lang w:val="sr-RS"/>
        </w:rPr>
        <w:t>;</w:t>
      </w:r>
    </w:p>
    <w:p>
      <w:pPr>
        <w:pStyle w:val="Normal"/>
        <w:numPr>
          <w:ilvl w:val="0"/>
          <w:numId w:val="1"/>
        </w:numPr>
        <w:spacing w:lineRule="auto" w:line="259" w:before="0" w:after="0"/>
        <w:ind w:left="500"/>
        <w:jc w:val="both"/>
        <w:rPr>
          <w:sz w:val="24"/>
          <w:szCs w:val="24"/>
        </w:rPr>
      </w:pPr>
      <w:r>
        <w:rPr>
          <w:sz w:val="24"/>
          <w:szCs w:val="24"/>
        </w:rPr>
        <w:t xml:space="preserve"> </w:t>
      </w:r>
      <w:r>
        <w:rPr>
          <w:sz w:val="24"/>
          <w:szCs w:val="24"/>
        </w:rPr>
        <w:t>кп.бр. 435/1, улица стари друм ћеновача, њива 3. класе, површине 1380 м2, уписан</w:t>
      </w:r>
      <w:r>
        <w:rPr>
          <w:sz w:val="24"/>
          <w:szCs w:val="24"/>
          <w:lang w:val="sr-RS"/>
        </w:rPr>
        <w:t>а</w:t>
      </w:r>
      <w:r>
        <w:rPr>
          <w:sz w:val="24"/>
          <w:szCs w:val="24"/>
        </w:rPr>
        <w:t xml:space="preserve"> у ЛН 188 за КО Горње Трњане, врста права својина, облик својине приватна, са уделом извршног дужника 1/1,</w:t>
      </w:r>
      <w:r>
        <w:rPr>
          <w:sz w:val="24"/>
          <w:szCs w:val="24"/>
          <w:lang w:val="sr-RS"/>
        </w:rPr>
        <w:t xml:space="preserve"> </w:t>
      </w:r>
      <w:r>
        <w:rPr>
          <w:sz w:val="24"/>
          <w:szCs w:val="24"/>
          <w:lang w:val="sr-RS"/>
        </w:rPr>
        <w:t>процењена тржишна вредност</w:t>
      </w:r>
      <w:r>
        <w:rPr>
          <w:b/>
          <w:sz w:val="24"/>
          <w:szCs w:val="24"/>
          <w:lang w:val="sr-RS"/>
        </w:rPr>
        <w:t xml:space="preserve"> </w:t>
      </w:r>
      <w:r>
        <w:rPr>
          <w:b w:val="false"/>
          <w:bCs w:val="false"/>
          <w:sz w:val="24"/>
          <w:szCs w:val="24"/>
        </w:rPr>
        <w:t>64.612,00 динара,</w:t>
      </w:r>
      <w:r>
        <w:rPr>
          <w:b/>
          <w:sz w:val="24"/>
          <w:szCs w:val="24"/>
        </w:rPr>
        <w:t xml:space="preserve"> </w:t>
      </w:r>
      <w:r>
        <w:rPr>
          <w:b/>
          <w:sz w:val="24"/>
          <w:szCs w:val="24"/>
          <w:lang w:val="sr-RS"/>
        </w:rPr>
        <w:t>почетна цена 25.844,80 динара</w:t>
      </w:r>
      <w:r>
        <w:rPr>
          <w:b/>
          <w:sz w:val="24"/>
          <w:szCs w:val="24"/>
          <w:lang w:val="sr-RS"/>
        </w:rPr>
        <w:t>;</w:t>
      </w:r>
      <w:bookmarkStart w:id="2" w:name="_GoBack_копија_1"/>
      <w:bookmarkEnd w:id="2"/>
    </w:p>
    <w:p>
      <w:pPr>
        <w:pStyle w:val="Normal"/>
        <w:numPr>
          <w:ilvl w:val="0"/>
          <w:numId w:val="1"/>
        </w:numPr>
        <w:spacing w:lineRule="auto" w:line="259" w:before="0" w:after="0"/>
        <w:ind w:left="500"/>
        <w:jc w:val="both"/>
        <w:rPr>
          <w:sz w:val="24"/>
          <w:szCs w:val="24"/>
        </w:rPr>
      </w:pPr>
      <w:r>
        <w:rPr>
          <w:b w:val="false"/>
          <w:bCs w:val="false"/>
          <w:sz w:val="24"/>
          <w:szCs w:val="24"/>
          <w:lang w:val="sr-RS"/>
        </w:rPr>
        <w:t xml:space="preserve"> </w:t>
      </w:r>
      <w:r>
        <w:rPr>
          <w:b w:val="false"/>
          <w:bCs w:val="false"/>
          <w:sz w:val="24"/>
          <w:szCs w:val="24"/>
          <w:lang w:val="sr-RS"/>
        </w:rPr>
        <w:t xml:space="preserve">кп.бр. 232/1, улица стари друм големи др, њива 3. класе, површина 1068 м2, уписана у ЛН 188 за КО Горње Трњане, врста права својина, облик својине приватна, са уделом извршног дужника 1/1, </w:t>
      </w:r>
      <w:r>
        <w:rPr>
          <w:b w:val="false"/>
          <w:bCs w:val="false"/>
          <w:sz w:val="24"/>
          <w:szCs w:val="24"/>
          <w:lang w:val="sr-RS"/>
        </w:rPr>
        <w:t>процењена тржишна вредност</w:t>
      </w:r>
      <w:r>
        <w:rPr>
          <w:b w:val="false"/>
          <w:bCs w:val="false"/>
          <w:sz w:val="24"/>
          <w:szCs w:val="24"/>
          <w:lang w:val="sr-RS"/>
        </w:rPr>
        <w:t xml:space="preserve"> 50.004,00 динара,</w:t>
      </w:r>
      <w:r>
        <w:rPr>
          <w:b/>
          <w:sz w:val="24"/>
          <w:szCs w:val="24"/>
          <w:lang w:val="sr-RS"/>
        </w:rPr>
        <w:t xml:space="preserve"> </w:t>
      </w:r>
      <w:r>
        <w:rPr>
          <w:b/>
          <w:sz w:val="24"/>
          <w:szCs w:val="24"/>
          <w:lang w:val="sr-RS"/>
        </w:rPr>
        <w:t>почетна цена 30.002,40 динара</w:t>
      </w:r>
      <w:r>
        <w:rPr>
          <w:b/>
          <w:sz w:val="24"/>
          <w:szCs w:val="24"/>
          <w:lang w:val="sr-RS"/>
        </w:rPr>
        <w:t>.</w:t>
      </w:r>
    </w:p>
    <w:p>
      <w:pPr>
        <w:pStyle w:val="pStyle2"/>
        <w:rPr>
          <w:sz w:val="24"/>
          <w:szCs w:val="24"/>
        </w:rPr>
      </w:pPr>
      <w:r>
        <w:rPr>
          <w:sz w:val="24"/>
          <w:szCs w:val="24"/>
          <w:lang w:val="sr-RS"/>
        </w:rPr>
        <w:t xml:space="preserve">Прво </w:t>
      </w:r>
      <w:r>
        <w:rPr>
          <w:sz w:val="24"/>
          <w:szCs w:val="24"/>
        </w:rPr>
        <w:t xml:space="preserve"> јавно надметање одржаће се дана </w:t>
      </w:r>
      <w:bookmarkStart w:id="3" w:name="_GoBack"/>
      <w:bookmarkEnd w:id="3"/>
      <w:r>
        <w:rPr>
          <w:b/>
          <w:bCs/>
          <w:sz w:val="24"/>
          <w:szCs w:val="24"/>
        </w:rPr>
        <w:t>21</w:t>
      </w:r>
      <w:r>
        <w:rPr>
          <w:b/>
          <w:sz w:val="24"/>
          <w:szCs w:val="24"/>
          <w:lang w:val="sr-RS"/>
        </w:rPr>
        <w:t>.</w:t>
      </w:r>
      <w:r>
        <w:rPr>
          <w:b/>
          <w:sz w:val="24"/>
          <w:szCs w:val="24"/>
          <w:lang w:val="sr-RS"/>
        </w:rPr>
        <w:t>07</w:t>
      </w:r>
      <w:r>
        <w:rPr>
          <w:b/>
          <w:sz w:val="24"/>
          <w:szCs w:val="24"/>
          <w:lang w:val="sr-RS"/>
        </w:rPr>
        <w:t>.202</w:t>
      </w:r>
      <w:r>
        <w:rPr>
          <w:b/>
          <w:sz w:val="24"/>
          <w:szCs w:val="24"/>
          <w:lang w:val="sr-RS"/>
        </w:rPr>
        <w:t>5</w:t>
      </w:r>
      <w:r>
        <w:rPr>
          <w:b/>
          <w:sz w:val="24"/>
          <w:szCs w:val="24"/>
          <w:lang w:val="sr-RS"/>
        </w:rPr>
        <w:t>. године</w:t>
      </w:r>
      <w:r>
        <w:rPr>
          <w:sz w:val="24"/>
          <w:szCs w:val="24"/>
        </w:rPr>
        <w:t xml:space="preserve"> </w:t>
      </w:r>
      <w:r>
        <w:rPr>
          <w:b/>
          <w:sz w:val="24"/>
          <w:szCs w:val="24"/>
        </w:rPr>
        <w:t xml:space="preserve">у </w:t>
      </w:r>
      <w:r>
        <w:rPr>
          <w:b/>
          <w:sz w:val="24"/>
          <w:szCs w:val="24"/>
          <w:lang w:val="sr-RS"/>
        </w:rPr>
        <w:t>1</w:t>
      </w:r>
      <w:r>
        <w:rPr>
          <w:b/>
          <w:sz w:val="24"/>
          <w:szCs w:val="24"/>
          <w:lang w:val="sr-RS"/>
        </w:rPr>
        <w:t>1</w:t>
      </w:r>
      <w:r>
        <w:rPr>
          <w:b/>
          <w:sz w:val="24"/>
          <w:szCs w:val="24"/>
          <w:lang w:val="sr-RS"/>
        </w:rPr>
        <w:t>:00</w:t>
      </w:r>
      <w:r>
        <w:rPr>
          <w:b/>
          <w:sz w:val="24"/>
          <w:szCs w:val="24"/>
        </w:rPr>
        <w:t xml:space="preserve"> часова</w:t>
      </w:r>
      <w:r>
        <w:rPr>
          <w:sz w:val="24"/>
          <w:szCs w:val="24"/>
        </w:rPr>
        <w:t xml:space="preserve">, у канцеларији јавног извршитеља Александре Антић, Лесковац, Косте Стаменковића 3/5, а почетна цена </w:t>
      </w:r>
      <w:r>
        <w:rPr>
          <w:sz w:val="24"/>
          <w:szCs w:val="24"/>
          <w:lang w:val="sr-RS"/>
        </w:rPr>
        <w:t>непокретности</w:t>
      </w:r>
      <w:r>
        <w:rPr>
          <w:sz w:val="24"/>
          <w:szCs w:val="24"/>
        </w:rPr>
        <w:t xml:space="preserve"> на </w:t>
      </w:r>
      <w:r>
        <w:rPr>
          <w:sz w:val="24"/>
          <w:szCs w:val="24"/>
          <w:lang w:val="sr-RS"/>
        </w:rPr>
        <w:t>првом</w:t>
      </w:r>
      <w:r>
        <w:rPr>
          <w:sz w:val="24"/>
          <w:szCs w:val="24"/>
        </w:rPr>
        <w:t xml:space="preserve"> јавном надметању износи </w:t>
      </w:r>
      <w:r>
        <w:rPr>
          <w:sz w:val="24"/>
          <w:szCs w:val="24"/>
          <w:lang w:val="sr-RS"/>
        </w:rPr>
        <w:t>6</w:t>
      </w:r>
      <w:r>
        <w:rPr>
          <w:sz w:val="24"/>
          <w:szCs w:val="24"/>
        </w:rPr>
        <w:t xml:space="preserve">0% од процењене вредности </w:t>
      </w:r>
      <w:r>
        <w:rPr>
          <w:sz w:val="24"/>
          <w:szCs w:val="24"/>
          <w:lang w:val="sr-RS"/>
        </w:rPr>
        <w:t>непокретности</w:t>
      </w:r>
      <w:r>
        <w:rPr>
          <w:sz w:val="24"/>
          <w:szCs w:val="24"/>
        </w:rPr>
        <w:t xml:space="preserve">. </w:t>
      </w:r>
    </w:p>
    <w:p>
      <w:pPr>
        <w:pStyle w:val="pStyle22"/>
        <w:ind w:firstLine="567"/>
        <w:rPr>
          <w:sz w:val="24"/>
          <w:szCs w:val="24"/>
        </w:rPr>
      </w:pPr>
      <w:bookmarkStart w:id="4" w:name="_Toc3"/>
      <w:r>
        <w:rPr>
          <w:sz w:val="24"/>
          <w:szCs w:val="24"/>
          <w:lang w:val="sr-RS"/>
        </w:rPr>
        <w:t xml:space="preserve">Јавни извршитељ није утврдио да ли су непокретности слободне од лица и ствари. </w:t>
      </w:r>
    </w:p>
    <w:p>
      <w:pPr>
        <w:pStyle w:val="NoSpacing"/>
        <w:ind w:firstLine="567"/>
        <w:jc w:val="both"/>
        <w:rPr>
          <w:sz w:val="24"/>
          <w:szCs w:val="24"/>
        </w:rPr>
      </w:pPr>
      <w:r>
        <w:rPr>
          <w:sz w:val="24"/>
          <w:szCs w:val="24"/>
        </w:rPr>
        <w:t xml:space="preserve">Јавни извршитељ ће заинтересованим лицима, а која се пријаве до </w:t>
      </w:r>
      <w:r>
        <w:rPr>
          <w:sz w:val="24"/>
          <w:szCs w:val="24"/>
        </w:rPr>
        <w:t>15</w:t>
      </w:r>
      <w:r>
        <w:rPr>
          <w:sz w:val="24"/>
          <w:szCs w:val="24"/>
          <w:lang w:val="sr-RS"/>
        </w:rPr>
        <w:t>.</w:t>
      </w:r>
      <w:r>
        <w:rPr>
          <w:sz w:val="24"/>
          <w:szCs w:val="24"/>
          <w:lang w:val="sr-RS"/>
        </w:rPr>
        <w:t>07</w:t>
      </w:r>
      <w:r>
        <w:rPr>
          <w:sz w:val="24"/>
          <w:szCs w:val="24"/>
          <w:lang w:val="sr-RS"/>
        </w:rPr>
        <w:t>.202</w:t>
      </w:r>
      <w:r>
        <w:rPr>
          <w:sz w:val="24"/>
          <w:szCs w:val="24"/>
          <w:lang w:val="sr-RS"/>
        </w:rPr>
        <w:t>5</w:t>
      </w:r>
      <w:r>
        <w:rPr>
          <w:sz w:val="24"/>
          <w:szCs w:val="24"/>
          <w:lang w:val="sr-RS"/>
        </w:rPr>
        <w:t>. године</w:t>
      </w:r>
      <w:r>
        <w:rPr>
          <w:sz w:val="24"/>
          <w:szCs w:val="24"/>
        </w:rPr>
        <w:t>. електронским путем на a.antic.izvrsitelj @gmail.com , или писаним путем на адресу канцеларије овог јавног извршитеља у Лесковцу ул.Косте Стаменковића бр.</w:t>
      </w:r>
      <w:r>
        <w:rPr>
          <w:sz w:val="24"/>
          <w:szCs w:val="24"/>
          <w:lang w:val="sr-RS"/>
        </w:rPr>
        <w:t>3/5,</w:t>
      </w:r>
      <w:r>
        <w:rPr>
          <w:sz w:val="24"/>
          <w:szCs w:val="24"/>
        </w:rPr>
        <w:t xml:space="preserve">  омогућити разгледање непокретности дана </w:t>
      </w:r>
      <w:r>
        <w:rPr>
          <w:sz w:val="24"/>
          <w:szCs w:val="24"/>
        </w:rPr>
        <w:t>17</w:t>
      </w:r>
      <w:r>
        <w:rPr>
          <w:sz w:val="24"/>
          <w:szCs w:val="24"/>
          <w:lang w:val="sr-RS"/>
        </w:rPr>
        <w:t>.</w:t>
      </w:r>
      <w:r>
        <w:rPr>
          <w:sz w:val="24"/>
          <w:szCs w:val="24"/>
          <w:lang w:val="sr-RS"/>
        </w:rPr>
        <w:t>07</w:t>
      </w:r>
      <w:r>
        <w:rPr>
          <w:sz w:val="24"/>
          <w:szCs w:val="24"/>
          <w:lang w:val="sr-RS"/>
        </w:rPr>
        <w:t>.202</w:t>
      </w:r>
      <w:r>
        <w:rPr>
          <w:sz w:val="24"/>
          <w:szCs w:val="24"/>
          <w:lang w:val="sr-RS"/>
        </w:rPr>
        <w:t>5</w:t>
      </w:r>
      <w:r>
        <w:rPr>
          <w:sz w:val="24"/>
          <w:szCs w:val="24"/>
          <w:lang w:val="sr-RS"/>
        </w:rPr>
        <w:t xml:space="preserve">. </w:t>
      </w:r>
      <w:r>
        <w:rPr>
          <w:sz w:val="24"/>
          <w:szCs w:val="24"/>
        </w:rPr>
        <w:t>год</w:t>
      </w:r>
      <w:r>
        <w:rPr>
          <w:sz w:val="24"/>
          <w:szCs w:val="24"/>
          <w:lang w:val="sr-RS"/>
        </w:rPr>
        <w:t>ине</w:t>
      </w:r>
      <w:r>
        <w:rPr>
          <w:sz w:val="24"/>
          <w:szCs w:val="24"/>
        </w:rPr>
        <w:t>.</w:t>
      </w:r>
    </w:p>
    <w:p>
      <w:pPr>
        <w:pStyle w:val="NoSpacing"/>
        <w:ind w:firstLine="567"/>
        <w:jc w:val="both"/>
        <w:rPr>
          <w:sz w:val="24"/>
          <w:szCs w:val="24"/>
        </w:rPr>
      </w:pPr>
      <w:r>
        <w:rPr>
          <w:sz w:val="24"/>
          <w:szCs w:val="24"/>
        </w:rPr>
        <w:t xml:space="preserve">Право учешћа на јавном надметању имају лица која положе јемство у висини од 1/10 процењене вредности непокретности и која о томе доставе доказ јавном извршитељу до почетка јавног надметања. </w:t>
      </w:r>
    </w:p>
    <w:p>
      <w:pPr>
        <w:pStyle w:val="NoSpacing"/>
        <w:jc w:val="both"/>
        <w:rPr>
          <w:sz w:val="24"/>
          <w:szCs w:val="24"/>
        </w:rPr>
      </w:pPr>
      <w:r>
        <w:rPr>
          <w:sz w:val="24"/>
          <w:szCs w:val="24"/>
        </w:rPr>
        <w:tab/>
        <w:t xml:space="preserve">Јемство се полаже у новцу уплатом на депозитни рачун јавног извршитеља Александре Антић број </w:t>
      </w:r>
      <w:r>
        <w:rPr>
          <w:sz w:val="24"/>
          <w:szCs w:val="24"/>
          <w:lang w:val="sr-RS"/>
        </w:rPr>
        <w:t xml:space="preserve">200-2909561301026-71 који се води код БАНКА ПОШТАНСКА ШТЕДИОНИЦА А.Д. БЕОГРАД, </w:t>
      </w:r>
      <w:r>
        <w:rPr>
          <w:sz w:val="24"/>
          <w:szCs w:val="24"/>
        </w:rPr>
        <w:t>са напоменом "јемство за учествовање на јавном надметању у предмету број И</w:t>
      </w:r>
      <w:r>
        <w:rPr>
          <w:sz w:val="24"/>
          <w:szCs w:val="24"/>
          <w:lang w:val="sr-RS"/>
        </w:rPr>
        <w:t>.И</w:t>
      </w:r>
      <w:r>
        <w:rPr>
          <w:sz w:val="24"/>
          <w:szCs w:val="24"/>
          <w:lang w:val="sr-RS"/>
        </w:rPr>
        <w:t>в</w:t>
      </w:r>
      <w:r>
        <w:rPr>
          <w:sz w:val="24"/>
          <w:szCs w:val="24"/>
          <w:lang w:val="sr-RS"/>
        </w:rPr>
        <w:t xml:space="preserve">. </w:t>
      </w:r>
      <w:r>
        <w:rPr>
          <w:sz w:val="24"/>
          <w:szCs w:val="24"/>
          <w:lang w:val="sr-RS"/>
        </w:rPr>
        <w:t>280</w:t>
      </w:r>
      <w:r>
        <w:rPr>
          <w:sz w:val="24"/>
          <w:szCs w:val="24"/>
          <w:lang w:val="sr-RS"/>
        </w:rPr>
        <w:t>/</w:t>
      </w:r>
      <w:r>
        <w:rPr>
          <w:sz w:val="24"/>
          <w:szCs w:val="24"/>
          <w:lang w:val="sr-RS"/>
        </w:rPr>
        <w:t>2020</w:t>
      </w:r>
      <w:r>
        <w:rPr>
          <w:sz w:val="24"/>
          <w:szCs w:val="24"/>
        </w:rPr>
        <w:t>".</w:t>
      </w:r>
    </w:p>
    <w:p>
      <w:pPr>
        <w:pStyle w:val="NoSpacing"/>
        <w:jc w:val="both"/>
        <w:rPr>
          <w:sz w:val="24"/>
          <w:szCs w:val="24"/>
        </w:rPr>
      </w:pPr>
      <w:r>
        <w:rPr>
          <w:sz w:val="24"/>
          <w:szCs w:val="24"/>
        </w:rPr>
        <w:tab/>
      </w:r>
      <w:r>
        <w:rPr>
          <w:sz w:val="24"/>
          <w:szCs w:val="24"/>
          <w:lang w:val="sr-RS"/>
        </w:rPr>
        <w:t>Полагања јемства ослобођени су извршни поверилац и заложни извршни поверилац, ако њихова потраживања достижу износ јемства и ако би се, с обзиром на њихов ред првенства и утврђену вредност непокретности, тај износ могао намирити из куповне цене.</w:t>
      </w:r>
    </w:p>
    <w:p>
      <w:pPr>
        <w:pStyle w:val="pStyle22"/>
        <w:ind w:firstLine="567"/>
        <w:rPr>
          <w:sz w:val="24"/>
          <w:szCs w:val="24"/>
        </w:rPr>
      </w:pPr>
      <w:r>
        <w:rPr>
          <w:sz w:val="24"/>
          <w:szCs w:val="24"/>
        </w:rPr>
        <w:t xml:space="preserve">Купац коме се додели непокретност дужан је да положи цену, по којој се иста прода у року од 15 дана од дана закључења јавне продаје на којој је купцу додељена непокретност. </w:t>
      </w:r>
    </w:p>
    <w:p>
      <w:pPr>
        <w:pStyle w:val="pStyle22"/>
        <w:ind w:firstLine="567"/>
        <w:rPr>
          <w:sz w:val="24"/>
          <w:szCs w:val="24"/>
        </w:rPr>
      </w:pPr>
      <w:r>
        <w:rPr>
          <w:sz w:val="24"/>
          <w:szCs w:val="24"/>
        </w:rPr>
        <w:t xml:space="preserve">У случају да на јавној продаји као заинтересовани купци учествују више лица са уплаћеним јемством, уколико извршитељ додели предметну непокретност најповољнијем понуђачу, у том случају јемство другог и трећег понуђача се задржава, до уплате укупног износа купопродајне цене од стране најповољнијег понуђача у року од 15 дана. </w:t>
      </w:r>
    </w:p>
    <w:p>
      <w:pPr>
        <w:pStyle w:val="pStyle22"/>
        <w:ind w:firstLine="567"/>
        <w:rPr>
          <w:sz w:val="24"/>
          <w:szCs w:val="24"/>
        </w:rPr>
      </w:pPr>
      <w:r>
        <w:rPr>
          <w:sz w:val="24"/>
          <w:szCs w:val="24"/>
          <w:lang w:val="sr-RS"/>
        </w:rPr>
        <w:t>Купац не може бити, ни на основу јавног надметања, нити на основу непосредне погодбе, извршни дужник, судија, судски извршитељ, извршитељ, заменик извршитеља, као и лица која су учествовала у процени.</w:t>
      </w:r>
    </w:p>
    <w:p>
      <w:pPr>
        <w:pStyle w:val="pStyle22"/>
        <w:ind w:firstLine="567"/>
        <w:rPr>
          <w:sz w:val="24"/>
          <w:szCs w:val="24"/>
        </w:rPr>
      </w:pPr>
      <w:r>
        <w:rPr>
          <w:sz w:val="24"/>
          <w:szCs w:val="24"/>
          <w:lang w:val="sr-RS"/>
        </w:rPr>
        <w:t>Лице које има законско право прече куповине непокрентости која је предмет извршења продајом има првенство пред најповољнијим пнудиоцем, ако на јавном надметању, одмах по закључењу, изјави да непокретнот купује под истим условима.</w:t>
      </w:r>
    </w:p>
    <w:p>
      <w:pPr>
        <w:pStyle w:val="Heading2"/>
        <w:ind w:firstLine="567"/>
        <w:jc w:val="both"/>
        <w:rPr>
          <w:sz w:val="24"/>
          <w:szCs w:val="24"/>
        </w:rPr>
      </w:pPr>
      <w:r>
        <w:rPr>
          <w:b w:val="false"/>
          <w:i w:val="false"/>
          <w:sz w:val="24"/>
          <w:szCs w:val="24"/>
        </w:rPr>
        <w:t>Закључак о продаји објављује се на огласној табли суда и интернет страници суда</w:t>
      </w:r>
      <w:r>
        <w:rPr>
          <w:b w:val="false"/>
          <w:i w:val="false"/>
          <w:sz w:val="24"/>
          <w:szCs w:val="24"/>
          <w:lang w:val="sr-RS"/>
        </w:rPr>
        <w:t>.</w:t>
      </w:r>
    </w:p>
    <w:p>
      <w:pPr>
        <w:pStyle w:val="Heading2"/>
        <w:rPr>
          <w:sz w:val="24"/>
          <w:szCs w:val="24"/>
        </w:rPr>
      </w:pPr>
      <w:bookmarkStart w:id="5" w:name="_Toc3"/>
      <w:r>
        <w:rPr>
          <w:sz w:val="24"/>
          <w:szCs w:val="24"/>
        </w:rPr>
        <w:t>О б р а з л о ж е њ е</w:t>
      </w:r>
      <w:bookmarkEnd w:id="5"/>
    </w:p>
    <w:p>
      <w:pPr>
        <w:pStyle w:val="pStyle2"/>
        <w:rPr>
          <w:sz w:val="24"/>
          <w:szCs w:val="24"/>
        </w:rPr>
      </w:pPr>
      <w:r>
        <w:rPr>
          <w:sz w:val="24"/>
          <w:szCs w:val="24"/>
          <w:lang w:val="sr-RS"/>
        </w:rPr>
        <w:t>Јавни извршитељ поступа на основу решења о извршењу Основног суда у Лесковцу Ив-190/2015 од 25.03.2015. године.</w:t>
      </w:r>
    </w:p>
    <w:p>
      <w:pPr>
        <w:pStyle w:val="pStyle2"/>
        <w:rPr>
          <w:sz w:val="24"/>
          <w:szCs w:val="24"/>
        </w:rPr>
      </w:pPr>
      <w:r>
        <w:rPr>
          <w:sz w:val="24"/>
          <w:szCs w:val="24"/>
          <w:lang w:val="sr-RS"/>
        </w:rPr>
        <w:t>Процена вредности непокретности утврђена је на основу налаза стручног лица Зорице Костић од 27.0</w:t>
      </w:r>
      <w:r>
        <w:rPr>
          <w:sz w:val="24"/>
          <w:szCs w:val="24"/>
          <w:lang w:val="sr-RS"/>
        </w:rPr>
        <w:t>8</w:t>
      </w:r>
      <w:r>
        <w:rPr>
          <w:sz w:val="24"/>
          <w:szCs w:val="24"/>
          <w:lang w:val="sr-RS"/>
        </w:rPr>
        <w:t>.202</w:t>
      </w:r>
      <w:r>
        <w:rPr>
          <w:sz w:val="24"/>
          <w:szCs w:val="24"/>
          <w:lang w:val="sr-RS"/>
        </w:rPr>
        <w:t>4</w:t>
      </w:r>
      <w:r>
        <w:rPr>
          <w:sz w:val="24"/>
          <w:szCs w:val="24"/>
          <w:lang w:val="sr-RS"/>
        </w:rPr>
        <w:t xml:space="preserve">. године, на основу кога је јавни извршитељ донео закључак о о утврђењу тржишне вредности непокретности од </w:t>
      </w:r>
      <w:r>
        <w:rPr>
          <w:sz w:val="24"/>
          <w:szCs w:val="24"/>
          <w:lang w:val="sr-RS"/>
        </w:rPr>
        <w:t>Иив 280/2020 од 28</w:t>
      </w:r>
      <w:r>
        <w:rPr>
          <w:sz w:val="24"/>
          <w:szCs w:val="24"/>
          <w:lang w:val="sr-RS"/>
        </w:rPr>
        <w:t>.</w:t>
      </w:r>
      <w:r>
        <w:rPr>
          <w:sz w:val="24"/>
          <w:szCs w:val="24"/>
          <w:lang w:val="sr-RS"/>
        </w:rPr>
        <w:t>08</w:t>
      </w:r>
      <w:r>
        <w:rPr>
          <w:sz w:val="24"/>
          <w:szCs w:val="24"/>
          <w:lang w:val="sr-RS"/>
        </w:rPr>
        <w:t>.202</w:t>
      </w:r>
      <w:r>
        <w:rPr>
          <w:sz w:val="24"/>
          <w:szCs w:val="24"/>
          <w:lang w:val="sr-RS"/>
        </w:rPr>
        <w:t>4</w:t>
      </w:r>
      <w:r>
        <w:rPr>
          <w:sz w:val="24"/>
          <w:szCs w:val="24"/>
          <w:lang w:val="sr-RS"/>
        </w:rPr>
        <w:t>. године.</w:t>
      </w:r>
    </w:p>
    <w:p>
      <w:pPr>
        <w:pStyle w:val="pStyle2"/>
        <w:rPr>
          <w:sz w:val="24"/>
          <w:szCs w:val="24"/>
        </w:rPr>
      </w:pPr>
      <w:r>
        <w:rPr>
          <w:sz w:val="24"/>
          <w:szCs w:val="24"/>
        </w:rPr>
        <w:t xml:space="preserve">На основу напред наведеног, а сходно одредбама </w:t>
      </w:r>
      <w:r>
        <w:rPr>
          <w:sz w:val="24"/>
          <w:szCs w:val="24"/>
          <w:lang w:val="sr-RS"/>
        </w:rPr>
        <w:t>104-134.</w:t>
      </w:r>
      <w:r>
        <w:rPr>
          <w:sz w:val="24"/>
          <w:szCs w:val="24"/>
        </w:rPr>
        <w:t xml:space="preserve"> Закона о извршењу и обезбеђењу ("Сл.гласник РС" бр.33/2011 и 99/2011), јавни извршитељ је донео одлуку као у изреци. </w:t>
      </w:r>
    </w:p>
    <w:p>
      <w:pPr>
        <w:pStyle w:val="pStyle2"/>
        <w:rPr>
          <w:sz w:val="24"/>
          <w:szCs w:val="24"/>
        </w:rPr>
      </w:pPr>
      <w:r>
        <w:rPr>
          <w:sz w:val="24"/>
          <w:szCs w:val="24"/>
        </w:rPr>
      </w:r>
    </w:p>
    <w:p>
      <w:pPr>
        <w:pStyle w:val="pStyle2"/>
        <w:rPr>
          <w:sz w:val="24"/>
          <w:szCs w:val="24"/>
        </w:rPr>
      </w:pPr>
      <w:r>
        <w:rPr>
          <w:sz w:val="24"/>
          <w:szCs w:val="24"/>
        </w:rPr>
      </w:r>
    </w:p>
    <w:tbl>
      <w:tblPr>
        <w:tblW w:w="9907"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5055"/>
        <w:gridCol w:w="1387"/>
        <w:gridCol w:w="3465"/>
      </w:tblGrid>
      <w:tr>
        <w:trPr>
          <w:trHeight w:val="14" w:hRule="atLeast"/>
        </w:trPr>
        <w:tc>
          <w:tcPr>
            <w:tcW w:w="5055" w:type="dxa"/>
            <w:tcBorders/>
          </w:tcPr>
          <w:p>
            <w:pPr>
              <w:pStyle w:val="pStyle"/>
              <w:rPr>
                <w:sz w:val="24"/>
                <w:szCs w:val="24"/>
              </w:rPr>
            </w:pPr>
            <w:r>
              <w:rPr>
                <w:b/>
                <w:sz w:val="24"/>
                <w:szCs w:val="24"/>
              </w:rPr>
              <w:t>ПОУКА О ПРАВНОМ ЛЕКУ:</w:t>
            </w:r>
          </w:p>
          <w:p>
            <w:pPr>
              <w:pStyle w:val="Normal"/>
              <w:rPr>
                <w:sz w:val="24"/>
                <w:szCs w:val="24"/>
              </w:rPr>
            </w:pPr>
            <w:r>
              <w:rPr>
                <w:sz w:val="24"/>
                <w:szCs w:val="24"/>
              </w:rPr>
              <w:t>Против овог закључка није дозвољен приговор.</w:t>
            </w:r>
          </w:p>
        </w:tc>
        <w:tc>
          <w:tcPr>
            <w:tcW w:w="1387" w:type="dxa"/>
            <w:tcBorders/>
          </w:tcPr>
          <w:p>
            <w:pPr>
              <w:pStyle w:val="Normal"/>
              <w:rPr>
                <w:sz w:val="24"/>
                <w:szCs w:val="24"/>
              </w:rPr>
            </w:pPr>
            <w:r>
              <w:rPr>
                <w:sz w:val="24"/>
                <w:szCs w:val="24"/>
              </w:rPr>
            </w:r>
          </w:p>
        </w:tc>
        <w:tc>
          <w:tcPr>
            <w:tcW w:w="3465" w:type="dxa"/>
            <w:tcBorders/>
          </w:tcPr>
          <w:p>
            <w:pPr>
              <w:pStyle w:val="pStyle3"/>
              <w:rPr>
                <w:sz w:val="24"/>
                <w:szCs w:val="24"/>
              </w:rPr>
            </w:pPr>
            <w:r>
              <w:rPr>
                <w:b/>
                <w:sz w:val="24"/>
                <w:szCs w:val="24"/>
              </w:rPr>
              <w:t>Ј А В Н И  И З В Р Ш И Т Е Љ</w:t>
            </w:r>
          </w:p>
          <w:p>
            <w:pPr>
              <w:pStyle w:val="pStyle3"/>
              <w:rPr>
                <w:sz w:val="24"/>
                <w:szCs w:val="24"/>
              </w:rPr>
            </w:pPr>
            <w:r>
              <w:rPr>
                <w:sz w:val="24"/>
                <w:szCs w:val="24"/>
              </w:rPr>
            </w:r>
          </w:p>
          <w:p>
            <w:pPr>
              <w:pStyle w:val="pStyle3"/>
              <w:rPr>
                <w:sz w:val="24"/>
                <w:szCs w:val="24"/>
              </w:rPr>
            </w:pPr>
            <w:r>
              <w:rPr>
                <w:sz w:val="24"/>
                <w:szCs w:val="24"/>
              </w:rPr>
              <w:t>___</w:t>
            </w:r>
            <w:r>
              <w:rPr>
                <w:sz w:val="24"/>
                <w:szCs w:val="24"/>
              </w:rPr>
              <w:t>_______</w:t>
            </w:r>
            <w:r>
              <w:rPr>
                <w:sz w:val="24"/>
                <w:szCs w:val="24"/>
              </w:rPr>
              <w:t>___________</w:t>
            </w:r>
          </w:p>
          <w:p>
            <w:pPr>
              <w:pStyle w:val="pStyle3"/>
              <w:rPr>
                <w:sz w:val="24"/>
                <w:szCs w:val="24"/>
              </w:rPr>
            </w:pPr>
            <w:r>
              <w:rPr>
                <w:b/>
                <w:i/>
                <w:iCs/>
                <w:sz w:val="24"/>
                <w:szCs w:val="24"/>
              </w:rPr>
              <w:t>Александра Антић</w:t>
            </w:r>
          </w:p>
        </w:tc>
      </w:tr>
    </w:tbl>
    <w:p>
      <w:pPr>
        <w:pStyle w:val="Normal"/>
        <w:rPr>
          <w:sz w:val="24"/>
          <w:szCs w:val="24"/>
        </w:rPr>
      </w:pPr>
      <w:r>
        <w:rPr>
          <w:sz w:val="24"/>
          <w:szCs w:val="24"/>
        </w:rPr>
      </w:r>
    </w:p>
    <w:p>
      <w:pPr>
        <w:pStyle w:val="pStyle"/>
        <w:rPr>
          <w:sz w:val="24"/>
          <w:szCs w:val="24"/>
        </w:rPr>
      </w:pPr>
      <w:r>
        <w:rPr>
          <w:sz w:val="24"/>
          <w:szCs w:val="24"/>
        </w:rPr>
      </w:r>
    </w:p>
    <w:p>
      <w:pPr>
        <w:pStyle w:val="pStyle"/>
        <w:rPr>
          <w:sz w:val="24"/>
          <w:szCs w:val="24"/>
        </w:rPr>
      </w:pPr>
      <w:r>
        <w:rPr>
          <w:sz w:val="24"/>
          <w:szCs w:val="24"/>
        </w:rPr>
      </w:r>
    </w:p>
    <w:sectPr>
      <w:type w:val="nextPage"/>
      <w:pgSz w:w="11906" w:h="16838"/>
      <w:pgMar w:left="1000" w:right="1000" w:gutter="0" w:header="0" w:top="426" w:footer="0" w:bottom="426"/>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60" w:hanging="360"/>
      </w:pPr>
      <w:rPr>
        <w:b/>
        <w:bCs/>
      </w:rPr>
    </w:lvl>
    <w:lvl w:ilvl="1">
      <w:start w:val="1"/>
      <w:numFmt w:val="lowerLetter"/>
      <w:lvlText w:val="%2."/>
      <w:lvlJc w:val="left"/>
      <w:pPr>
        <w:tabs>
          <w:tab w:val="num" w:pos="0"/>
        </w:tabs>
        <w:ind w:left="1580" w:hanging="360"/>
      </w:pPr>
      <w:rPr/>
    </w:lvl>
    <w:lvl w:ilvl="2">
      <w:start w:val="1"/>
      <w:numFmt w:val="lowerRoman"/>
      <w:lvlText w:val="%3."/>
      <w:lvlJc w:val="right"/>
      <w:pPr>
        <w:tabs>
          <w:tab w:val="num" w:pos="0"/>
        </w:tabs>
        <w:ind w:left="2300" w:hanging="180"/>
      </w:pPr>
      <w:rPr/>
    </w:lvl>
    <w:lvl w:ilvl="3">
      <w:start w:val="1"/>
      <w:numFmt w:val="decimal"/>
      <w:lvlText w:val="%4."/>
      <w:lvlJc w:val="left"/>
      <w:pPr>
        <w:tabs>
          <w:tab w:val="num" w:pos="0"/>
        </w:tabs>
        <w:ind w:left="3020" w:hanging="360"/>
      </w:pPr>
      <w:rPr/>
    </w:lvl>
    <w:lvl w:ilvl="4">
      <w:start w:val="1"/>
      <w:numFmt w:val="lowerLetter"/>
      <w:lvlText w:val="%5."/>
      <w:lvlJc w:val="left"/>
      <w:pPr>
        <w:tabs>
          <w:tab w:val="num" w:pos="0"/>
        </w:tabs>
        <w:ind w:left="3740" w:hanging="360"/>
      </w:pPr>
      <w:rPr/>
    </w:lvl>
    <w:lvl w:ilvl="5">
      <w:start w:val="1"/>
      <w:numFmt w:val="lowerRoman"/>
      <w:lvlText w:val="%6."/>
      <w:lvlJc w:val="right"/>
      <w:pPr>
        <w:tabs>
          <w:tab w:val="num" w:pos="0"/>
        </w:tabs>
        <w:ind w:left="4460" w:hanging="180"/>
      </w:pPr>
      <w:rPr/>
    </w:lvl>
    <w:lvl w:ilvl="6">
      <w:start w:val="1"/>
      <w:numFmt w:val="decimal"/>
      <w:lvlText w:val="%7."/>
      <w:lvlJc w:val="left"/>
      <w:pPr>
        <w:tabs>
          <w:tab w:val="num" w:pos="0"/>
        </w:tabs>
        <w:ind w:left="5180" w:hanging="360"/>
      </w:pPr>
      <w:rPr/>
    </w:lvl>
    <w:lvl w:ilvl="7">
      <w:start w:val="1"/>
      <w:numFmt w:val="lowerLetter"/>
      <w:lvlText w:val="%8."/>
      <w:lvlJc w:val="left"/>
      <w:pPr>
        <w:tabs>
          <w:tab w:val="num" w:pos="0"/>
        </w:tabs>
        <w:ind w:left="5900" w:hanging="360"/>
      </w:pPr>
      <w:rPr/>
    </w:lvl>
    <w:lvl w:ilvl="8">
      <w:start w:val="1"/>
      <w:numFmt w:val="lowerRoman"/>
      <w:lvlText w:val="%9."/>
      <w:lvlJc w:val="right"/>
      <w:pPr>
        <w:tabs>
          <w:tab w:val="num" w:pos="0"/>
        </w:tabs>
        <w:ind w:left="66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doNotHyphenateCaps/>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a501b"/>
    <w:pPr>
      <w:widowControl/>
      <w:suppressAutoHyphens w:val="true"/>
      <w:bidi w:val="0"/>
      <w:spacing w:lineRule="auto" w:line="276" w:before="0" w:after="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qFormat/>
    <w:rsid w:val="008a501b"/>
    <w:pPr>
      <w:spacing w:before="200" w:after="200"/>
      <w:jc w:val="center"/>
      <w:outlineLvl w:val="0"/>
    </w:pPr>
    <w:rPr>
      <w:b/>
    </w:rPr>
  </w:style>
  <w:style w:type="paragraph" w:styleId="Heading2">
    <w:name w:val="heading 2"/>
    <w:basedOn w:val="Normal"/>
    <w:qFormat/>
    <w:rsid w:val="008a501b"/>
    <w:pPr>
      <w:spacing w:before="200" w:after="200"/>
      <w:jc w:val="center"/>
      <w:outlineLvl w:val="1"/>
    </w:pPr>
    <w:rPr>
      <w:b/>
      <w:i/>
      <w:iCs/>
    </w:rPr>
  </w:style>
  <w:style w:type="character" w:styleId="DefaultParagraphFont" w:default="1">
    <w:name w:val="Default Paragraph Font"/>
    <w:uiPriority w:val="1"/>
    <w:semiHidden/>
    <w:unhideWhenUsed/>
    <w:qFormat/>
    <w:rPr/>
  </w:style>
  <w:style w:type="character" w:styleId="Style12">
    <w:name w:val="Знакови фусноте"/>
    <w:semiHidden/>
    <w:unhideWhenUsed/>
    <w:qFormat/>
    <w:rsid w:val="008a501b"/>
    <w:rPr>
      <w:vertAlign w:val="superscript"/>
    </w:rPr>
  </w:style>
  <w:style w:type="character" w:styleId="FootnoteReference">
    <w:name w:val="footnote reference"/>
    <w:rPr>
      <w:vertAlign w:val="superscript"/>
    </w:rPr>
  </w:style>
  <w:style w:type="character" w:styleId="BalloonTextChar" w:customStyle="1">
    <w:name w:val="Balloon Text Char"/>
    <w:basedOn w:val="DefaultParagraphFont"/>
    <w:link w:val="BalloonText"/>
    <w:uiPriority w:val="99"/>
    <w:semiHidden/>
    <w:qFormat/>
    <w:rsid w:val="008a04f2"/>
    <w:rPr>
      <w:rFonts w:ascii="Tahoma" w:hAnsi="Tahoma" w:cs="Tahoma"/>
      <w:sz w:val="16"/>
      <w:szCs w:val="16"/>
    </w:rPr>
  </w:style>
  <w:style w:type="paragraph" w:styleId="Style13">
    <w:name w:val="Насловљавање"/>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Попис"/>
    <w:basedOn w:val="Normal"/>
    <w:qFormat/>
    <w:pPr>
      <w:suppressLineNumbers/>
    </w:pPr>
    <w:rPr>
      <w:rFonts w:cs="Lucida Sans"/>
    </w:rPr>
  </w:style>
  <w:style w:type="paragraph" w:styleId="pStyle" w:customStyle="1">
    <w:name w:val="pStyle"/>
    <w:basedOn w:val="Normal"/>
    <w:qFormat/>
    <w:rsid w:val="008a501b"/>
    <w:pPr>
      <w:jc w:val="both"/>
    </w:pPr>
    <w:rPr/>
  </w:style>
  <w:style w:type="paragraph" w:styleId="pStyle3" w:customStyle="1">
    <w:name w:val="pStyle3"/>
    <w:basedOn w:val="Normal"/>
    <w:qFormat/>
    <w:rsid w:val="008a501b"/>
    <w:pPr>
      <w:jc w:val="center"/>
    </w:pPr>
    <w:rPr/>
  </w:style>
  <w:style w:type="paragraph" w:styleId="pStyle2" w:customStyle="1">
    <w:name w:val="pStyle2"/>
    <w:basedOn w:val="Normal"/>
    <w:qFormat/>
    <w:rsid w:val="008a501b"/>
    <w:pPr>
      <w:spacing w:before="100" w:after="100"/>
      <w:ind w:firstLine="500"/>
      <w:jc w:val="both"/>
    </w:pPr>
    <w:rPr/>
  </w:style>
  <w:style w:type="paragraph" w:styleId="pStyle22" w:customStyle="1">
    <w:name w:val="pStyle22"/>
    <w:basedOn w:val="Normal"/>
    <w:qFormat/>
    <w:rsid w:val="008a501b"/>
    <w:pPr>
      <w:jc w:val="both"/>
    </w:pPr>
    <w:rPr/>
  </w:style>
  <w:style w:type="paragraph" w:styleId="pStyle23" w:customStyle="1">
    <w:name w:val="pStyle23"/>
    <w:basedOn w:val="Normal"/>
    <w:qFormat/>
    <w:rsid w:val="008a501b"/>
    <w:pPr>
      <w:spacing w:before="0" w:after="150"/>
      <w:ind w:firstLine="500"/>
      <w:jc w:val="both"/>
    </w:pPr>
    <w:rPr/>
  </w:style>
  <w:style w:type="paragraph" w:styleId="pStyle24" w:customStyle="1">
    <w:name w:val="pStyle24"/>
    <w:basedOn w:val="Normal"/>
    <w:qFormat/>
    <w:rsid w:val="008a501b"/>
    <w:pPr>
      <w:spacing w:before="150" w:after="0"/>
      <w:ind w:firstLine="500"/>
      <w:jc w:val="both"/>
    </w:pPr>
    <w:rPr/>
  </w:style>
  <w:style w:type="paragraph" w:styleId="pStyle25" w:customStyle="1">
    <w:name w:val="pStyle25"/>
    <w:basedOn w:val="Normal"/>
    <w:qFormat/>
    <w:rsid w:val="008a501b"/>
    <w:pPr>
      <w:spacing w:before="150" w:after="150"/>
      <w:jc w:val="both"/>
    </w:pPr>
    <w:rPr/>
  </w:style>
  <w:style w:type="paragraph" w:styleId="heading10" w:customStyle="1">
    <w:name w:val="heading 10"/>
    <w:basedOn w:val="Normal"/>
    <w:qFormat/>
    <w:rsid w:val="008a501b"/>
    <w:pPr>
      <w:spacing w:before="200" w:after="0"/>
      <w:jc w:val="center"/>
    </w:pPr>
    <w:rPr>
      <w:b/>
    </w:rPr>
  </w:style>
  <w:style w:type="paragraph" w:styleId="heading11" w:customStyle="1">
    <w:name w:val="heading 11"/>
    <w:basedOn w:val="Normal"/>
    <w:qFormat/>
    <w:rsid w:val="008a501b"/>
    <w:pPr>
      <w:jc w:val="center"/>
    </w:pPr>
    <w:rPr>
      <w:b/>
    </w:rPr>
  </w:style>
  <w:style w:type="paragraph" w:styleId="heading12" w:customStyle="1">
    <w:name w:val="heading 12"/>
    <w:basedOn w:val="Normal"/>
    <w:qFormat/>
    <w:rsid w:val="008a501b"/>
    <w:pPr>
      <w:spacing w:before="0" w:after="200"/>
      <w:jc w:val="center"/>
    </w:pPr>
    <w:rPr>
      <w:b/>
    </w:rPr>
  </w:style>
  <w:style w:type="paragraph" w:styleId="pStyleR" w:customStyle="1">
    <w:name w:val="pStyleR"/>
    <w:basedOn w:val="Normal"/>
    <w:qFormat/>
    <w:rsid w:val="008a501b"/>
    <w:pPr>
      <w:jc w:val="right"/>
    </w:pPr>
    <w:rPr/>
  </w:style>
  <w:style w:type="paragraph" w:styleId="pStyleR1" w:customStyle="1">
    <w:name w:val="pStyleR1"/>
    <w:basedOn w:val="Normal"/>
    <w:qFormat/>
    <w:rsid w:val="008a501b"/>
    <w:pPr>
      <w:ind w:right="5000"/>
      <w:jc w:val="both"/>
    </w:pPr>
    <w:rPr/>
  </w:style>
  <w:style w:type="paragraph" w:styleId="pStyleT" w:customStyle="1">
    <w:name w:val="pStyleT"/>
    <w:basedOn w:val="Normal"/>
    <w:qFormat/>
    <w:rsid w:val="008a501b"/>
    <w:pPr>
      <w:ind w:left="6000"/>
    </w:pPr>
    <w:rPr/>
  </w:style>
  <w:style w:type="paragraph" w:styleId="pStyle5" w:customStyle="1">
    <w:name w:val="pStyle5"/>
    <w:basedOn w:val="Normal"/>
    <w:qFormat/>
    <w:rsid w:val="008a501b"/>
    <w:pPr>
      <w:ind w:left="7500"/>
      <w:jc w:val="center"/>
    </w:pPr>
    <w:rPr/>
  </w:style>
  <w:style w:type="paragraph" w:styleId="nabrajanje" w:customStyle="1">
    <w:name w:val="nabrajanje"/>
    <w:basedOn w:val="Normal"/>
    <w:qFormat/>
    <w:rsid w:val="008a501b"/>
    <w:pPr/>
    <w:rPr/>
  </w:style>
  <w:style w:type="paragraph" w:styleId="nabrajanje2" w:customStyle="1">
    <w:name w:val="nabrajanje2"/>
    <w:basedOn w:val="Normal"/>
    <w:qFormat/>
    <w:rsid w:val="008a501b"/>
    <w:pPr>
      <w:ind w:left="500"/>
    </w:pPr>
    <w:rPr/>
  </w:style>
  <w:style w:type="paragraph" w:styleId="potpis" w:customStyle="1">
    <w:name w:val="potpis"/>
    <w:basedOn w:val="Normal"/>
    <w:qFormat/>
    <w:rsid w:val="008a501b"/>
    <w:pPr>
      <w:jc w:val="center"/>
    </w:pPr>
    <w:rPr/>
  </w:style>
  <w:style w:type="paragraph" w:styleId="BalloonText">
    <w:name w:val="Balloon Text"/>
    <w:basedOn w:val="Normal"/>
    <w:link w:val="BalloonTextChar"/>
    <w:uiPriority w:val="99"/>
    <w:semiHidden/>
    <w:unhideWhenUsed/>
    <w:qFormat/>
    <w:rsid w:val="008a04f2"/>
    <w:pPr>
      <w:spacing w:lineRule="auto" w:line="240"/>
    </w:pPr>
    <w:rPr>
      <w:rFonts w:ascii="Tahoma" w:hAnsi="Tahoma" w:cs="Tahoma"/>
      <w:sz w:val="16"/>
      <w:szCs w:val="16"/>
    </w:rPr>
  </w:style>
  <w:style w:type="paragraph" w:styleId="ListParagraph">
    <w:name w:val="List Paragraph"/>
    <w:basedOn w:val="Normal"/>
    <w:uiPriority w:val="34"/>
    <w:qFormat/>
    <w:rsid w:val="00423176"/>
    <w:pPr>
      <w:spacing w:before="0" w:after="0"/>
      <w:ind w:left="720"/>
      <w:contextualSpacing/>
    </w:pPr>
    <w:rPr/>
  </w:style>
  <w:style w:type="paragraph" w:styleId="pStyle4" w:customStyle="1">
    <w:name w:val="pStyle4"/>
    <w:basedOn w:val="Normal"/>
    <w:qFormat/>
    <w:rsid w:val="00ef2b0d"/>
    <w:pPr>
      <w:spacing w:lineRule="auto" w:line="254"/>
      <w:jc w:val="both"/>
    </w:pPr>
    <w:rPr>
      <w:sz w:val="24"/>
      <w:szCs w:val="24"/>
    </w:rPr>
  </w:style>
  <w:style w:type="paragraph" w:styleId="NoSpacing">
    <w:name w:val="No Spacing"/>
    <w:uiPriority w:val="1"/>
    <w:qFormat/>
    <w:rsid w:val="00ca68e6"/>
    <w:pPr>
      <w:widowControl/>
      <w:bidi w:val="0"/>
      <w:spacing w:lineRule="auto" w:line="240" w:before="0" w:after="0"/>
      <w:jc w:val="left"/>
    </w:pPr>
    <w:rPr>
      <w:rFonts w:ascii="Times New Roman" w:hAnsi="Times New Roman" w:eastAsia="Times New Roman" w:cs="Times New Roman"/>
      <w:color w:val="auto"/>
      <w:kern w:val="0"/>
      <w:sz w:val="22"/>
      <w:szCs w:val="22"/>
      <w:lang w:val="en-US" w:eastAsia="en-US" w:bidi="ar-SA"/>
    </w:rPr>
  </w:style>
  <w:style w:type="numbering" w:styleId="Style15" w:default="1">
    <w:name w:val="Без листе"/>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LibreOffice/24.8.6.2$Windows_X86_64 LibreOffice_project/6d98ba145e9a8a39fc57bcc76981d1fb1316c60c</Application>
  <AppVersion>15.0000</AppVersion>
  <Pages>2</Pages>
  <Words>768</Words>
  <Characters>4347</Characters>
  <CharactersWithSpaces>5094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2024-10-28T12:01:00Z</dcterms:created>
  <dc:creator>Korisnik</dc:creator>
  <dc:description/>
  <dc:language>sr-Latn-RS</dc:language>
  <cp:lastModifiedBy/>
  <cp:lastPrinted>2022-11-23T14:53:00Z</cp:lastPrinted>
  <dcterms:modified xsi:type="dcterms:W3CDTF">2025-06-16T14:36:11Z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